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7" w:rsidRDefault="004A6A47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A6A47" w:rsidRDefault="004A6A47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pt;height:262pt">
            <v:imagedata r:id="rId6" o:title="до 250 млн"/>
          </v:shape>
        </w:pict>
      </w:r>
    </w:p>
    <w:p w:rsidR="004A6A47" w:rsidRDefault="004A6A47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A6A47" w:rsidRDefault="004A6A47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pict>
          <v:shape id="_x0000_i1026" type="#_x0000_t75" style="width:467.55pt;height:262.85pt">
            <v:imagedata r:id="rId7" o:title="от 250 млн"/>
          </v:shape>
        </w:pict>
      </w:r>
    </w:p>
    <w:p w:rsidR="004A6A47" w:rsidRDefault="004A6A47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6E6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ПАРАМЕТРЫ УЧАСТИЯ ФОНДА В ФИНАНСИРОВАНИИ ИНВЕСТИЦИОННЫХ ПРОЕКТОВ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>Форма участия</w:t>
      </w:r>
    </w:p>
    <w:p w:rsidR="005D6E6C" w:rsidRPr="005D6E6C" w:rsidRDefault="005D6E6C" w:rsidP="005D6E6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Предоставление денежных сре</w:t>
      </w: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дств в ф</w:t>
      </w:r>
      <w:proofErr w:type="gramEnd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орме займа;</w:t>
      </w:r>
    </w:p>
    <w:p w:rsidR="005D6E6C" w:rsidRPr="005D6E6C" w:rsidRDefault="005D6E6C" w:rsidP="005D6E6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Вхождение в капитал компании-инициатора (не более 49%)*.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>Условия предоставления поддержки фондом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Сумма - от 10 до 1000 млн. руб.;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Процентная ставка: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0% годовых**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5% годовых*;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Срок – до 15 лет;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Участие собственными средствами Инициатора в проекте - не менее 20%;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Отсрочка по выплате займа - не более 3 лет;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Наличие обеспечения, в том числе: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Для займов до 250 млн. рублей в качестве единственной формы обеспечения на полную сумму займа принимается: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безотзывная банковская гарантия, удовлетворяющая требованиям Фонда (список банков </w:t>
      </w:r>
      <w:hyperlink r:id="rId8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здесь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и/или безотзывная независимая гарантия АО «Корпорация МСП»;</w:t>
      </w:r>
    </w:p>
    <w:p w:rsidR="005D6E6C" w:rsidRPr="005D6E6C" w:rsidRDefault="005D6E6C" w:rsidP="005D6E6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и/или гарантия ВЭБ.РФ.</w:t>
      </w:r>
    </w:p>
    <w:p w:rsidR="005D6E6C" w:rsidRPr="005D6E6C" w:rsidRDefault="005D6E6C" w:rsidP="005D6E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займов свыше 250 млн. рублей сохраняются стандартные виды обеспечения, которые должны отдельно или в совокупности составлять не менее суммы займа с учетом процентов за первые 6 месяцев. Дополнительно в качестве единственной формы обеспечения может быть использовано поручительство холдинговой (материнской) компании, имеющей международный/российский инвестиционный/кредитный рейтинг, соответствующей требованиям Фонда;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>Требования к проекту и инициатору (заемщику)</w:t>
      </w:r>
    </w:p>
    <w:p w:rsidR="005D6E6C" w:rsidRPr="005D6E6C" w:rsidRDefault="005D6E6C" w:rsidP="005D6E6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Инициатор (заемщик) – индивидуальный предприниматель** или юридическое лицо, резидент Российской Федерации (полные условия </w:t>
      </w:r>
      <w:hyperlink r:id="rId9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здесь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5D6E6C" w:rsidRPr="005D6E6C" w:rsidRDefault="005D6E6C" w:rsidP="005D6E6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Отсутствие у инициатора просроченной задолженности перед бюджетом и фондами;</w:t>
      </w:r>
    </w:p>
    <w:p w:rsidR="005D6E6C" w:rsidRPr="005D6E6C" w:rsidRDefault="005D6E6C" w:rsidP="005D6E6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результате реализации Инвестиционного проекта должны быть осуществлены инвестиции и созданы новые рабочие места;</w:t>
      </w:r>
    </w:p>
    <w:p w:rsidR="005D6E6C" w:rsidRPr="005D6E6C" w:rsidRDefault="005D6E6C" w:rsidP="005D6E6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Отсутствие зависимости проекта от деятельности градообразующего предприятия.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*для займов свыше 250 млн. рублей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**для займов до 250 млн. рублей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b/>
          <w:bCs/>
          <w:color w:val="EE1D24"/>
          <w:sz w:val="24"/>
          <w:szCs w:val="24"/>
          <w:lang w:eastAsia="ru-RU"/>
        </w:rPr>
        <w:t>Ограничения</w:t>
      </w:r>
    </w:p>
    <w:p w:rsidR="005D6E6C" w:rsidRPr="005D6E6C" w:rsidRDefault="005D6E6C" w:rsidP="005D6E6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Участие Фонда в проекте не более 80% от общей стоимости проекта;</w:t>
      </w:r>
    </w:p>
    <w:p w:rsidR="005D6E6C" w:rsidRPr="005D6E6C" w:rsidRDefault="005D6E6C" w:rsidP="005D6E6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Средства Фонда могут быть направлены только на капитальные вложения;</w:t>
      </w:r>
    </w:p>
    <w:p w:rsidR="005D6E6C" w:rsidRPr="005D6E6C" w:rsidRDefault="005D6E6C" w:rsidP="005D6E6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Наличие в отношении моногорода заключенного с субъектом Российской Федерации генерального соглашения о сотрудничестве по развитию (о совместной реализации комплексного проекта).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 xml:space="preserve">Как Инициатору </w:t>
      </w:r>
      <w:proofErr w:type="gramStart"/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>заявиться</w:t>
      </w:r>
      <w:proofErr w:type="gramEnd"/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 xml:space="preserve"> на получение поддержки Фонда для финансирования своего инвестиционного проекта (для займов до 250 млн. рублей)?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Убедиться, что между субъектом Российской Федерации и Фондом заключено генеральное соглашение с моногородом, в котором планируется реализация инвестиционного проекта;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Проверить деятельность, а также проект на соответствие требованиям Фонда;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Подготовить комплект документов </w:t>
      </w: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соответствии с </w:t>
      </w:r>
      <w:hyperlink r:id="rId10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Методическими указаниями по подготовке комплекта документов для участия в отборе</w:t>
        </w:r>
        <w:proofErr w:type="gramEnd"/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 xml:space="preserve"> инвестиционных проектов, планируемых к реализации с использованием средств Фонда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Направить в Фонд </w:t>
      </w:r>
      <w:hyperlink r:id="rId11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письмо-обращение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 приложением </w:t>
      </w:r>
      <w:hyperlink r:id="rId12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паспорта инвестиционного проекта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комплекта документов к предварительному обращению и в течени</w:t>
      </w: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proofErr w:type="gramEnd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 рабочих дней получить письмо от Фонда о соответствии/не соответствии инвестиционного проекта общим требованиям Фонда;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Получить документ, подтверждающий предварительное согласие банка-гаранта/АО «Корпорация «МСП»/АО «МСП Банк»/ВЭБ</w:t>
      </w: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.Р</w:t>
      </w:r>
      <w:proofErr w:type="gramEnd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 на предоставление гарантии с указанием основных параметров обеспечиваемых обязательств;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Направить в Фонд </w:t>
      </w:r>
      <w:hyperlink r:id="rId13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заявку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 приложением комплекта документов 1;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Фонд в срок не более 13 рабочих дней проводит предварительную и комплексную оценку инвестиционного проекта и принимает решение о целесообразности участия Фонда в финансировании инвестиционного проекта;</w:t>
      </w:r>
    </w:p>
    <w:p w:rsidR="005D6E6C" w:rsidRPr="005D6E6C" w:rsidRDefault="005D6E6C" w:rsidP="005D6E6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Фонд и Инициатор заключают соглашение об участии в финансировании инвестиционного проекта.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 xml:space="preserve">Как Инициатору </w:t>
      </w:r>
      <w:proofErr w:type="gramStart"/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>заявиться</w:t>
      </w:r>
      <w:proofErr w:type="gramEnd"/>
      <w:r w:rsidRPr="005D6E6C">
        <w:rPr>
          <w:rFonts w:ascii="Helvetica" w:eastAsia="Times New Roman" w:hAnsi="Helvetica" w:cs="Helvetica"/>
          <w:b/>
          <w:bCs/>
          <w:color w:val="00AEEF"/>
          <w:sz w:val="24"/>
          <w:szCs w:val="24"/>
          <w:lang w:eastAsia="ru-RU"/>
        </w:rPr>
        <w:t xml:space="preserve"> на получение поддержки Фонда для финансирования своего инвестиционного проекта (для займов свыше 250 млн. рублей)?</w:t>
      </w:r>
    </w:p>
    <w:p w:rsidR="005D6E6C" w:rsidRPr="005D6E6C" w:rsidRDefault="005D6E6C" w:rsidP="005D6E6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Убедиться, что между субъектом Российской Федерации и Фондом заключено генеральное соглашение с моногородом, в котором планируется реализация инвестиционного проекта;</w:t>
      </w:r>
    </w:p>
    <w:p w:rsidR="005D6E6C" w:rsidRPr="005D6E6C" w:rsidRDefault="005D6E6C" w:rsidP="005D6E6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Проверить деятельность, а также проект на соответствие требованиям Фонда;</w:t>
      </w:r>
    </w:p>
    <w:p w:rsidR="005D6E6C" w:rsidRPr="005D6E6C" w:rsidRDefault="005D6E6C" w:rsidP="005D6E6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Подготовить комплект документов </w:t>
      </w: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соответствии с </w:t>
      </w:r>
      <w:hyperlink r:id="rId14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Методическими указаниями по подготовке комплекта документов для участия в отборе</w:t>
        </w:r>
        <w:proofErr w:type="gramEnd"/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 xml:space="preserve"> инвестиционных проектов, планируемых к реализации с использованием средств Фонда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5D6E6C" w:rsidRPr="005D6E6C" w:rsidRDefault="005D6E6C" w:rsidP="005D6E6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Направить в Фонд </w:t>
      </w:r>
      <w:hyperlink r:id="rId15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заявку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 приложением комплекта документов 2;</w:t>
      </w:r>
    </w:p>
    <w:p w:rsidR="005D6E6C" w:rsidRPr="005D6E6C" w:rsidRDefault="005D6E6C" w:rsidP="005D6E6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Фонд в срок не более 35 рабочих дней проводит предварительную и комплексную оценку инвестиционного проекта и принимает решение о целесообразности участия Фонда в финансировании инвестиционного проекта;</w:t>
      </w:r>
    </w:p>
    <w:p w:rsidR="005D6E6C" w:rsidRPr="005D6E6C" w:rsidRDefault="005D6E6C" w:rsidP="005D6E6C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Фонд и Инициатор заключают соглашение об участии в финансировании инвестиционного проекта.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Порядок и условия содействия в подготовке и (или) участия в финансировании инвестиционных проектов в моногородах в форме предоставления займа юридическим лицам и (или) осуществления взноса в уставный (складочный) капитал юридических лиц, которые реализуют инвестиционные проекты в моногородах, определяются </w:t>
      </w:r>
      <w:hyperlink r:id="rId16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Правилами предоставления из федерального бюджета субсидии некоммерческой организации «Фонд развития моногородов», утвержденными постановлением Правительства Российской Федерации от 11 ноября 2014 г. № 1186</w:t>
        </w:r>
        <w:proofErr w:type="gramEnd"/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 </w:t>
      </w:r>
      <w:hyperlink r:id="rId17" w:history="1"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 xml:space="preserve">Положением о содействии в подготовке и (или) участии некоммерческой организации «Фонд развития моногородов» в финансировании инвестиционных проектов в </w:t>
        </w:r>
        <w:proofErr w:type="spellStart"/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>монопрофильных</w:t>
        </w:r>
        <w:proofErr w:type="spellEnd"/>
        <w:r w:rsidRPr="005D6E6C">
          <w:rPr>
            <w:rFonts w:ascii="Helvetica" w:eastAsia="Times New Roman" w:hAnsi="Helvetica" w:cs="Helvetica"/>
            <w:color w:val="1A89BA"/>
            <w:sz w:val="24"/>
            <w:szCs w:val="24"/>
            <w:u w:val="single"/>
            <w:lang w:eastAsia="ru-RU"/>
          </w:rPr>
          <w:t xml:space="preserve"> муниципальных образованиях Российской Федерации (моногородах) (утверждено наблюдательным советом от 24 декабря 2018 г. №54)</w:t>
        </w:r>
      </w:hyperlink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 Инвестиционным проектом в моногороде понимается – инвестиционный проект, осуществляемый в форме капитальных вложений юридическим лицом или индивидуальным предпринимателем на участке территории, состоящем из одного или нескольких земельных участков, в границах моногорода, а также на прилегающих к границам моногорода участках территории в границах промышленного, индустриального, технологического или агропромышленного парка или если часть производственных мощностей указанных лиц расположена за пределами территории моногорода</w:t>
      </w:r>
      <w:proofErr w:type="gramEnd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но является составляющей единого производственного процесса, направленного на достижение общего экономического результата (производство товаров, выполнение работ, оказание услуг) и </w:t>
      </w:r>
      <w:proofErr w:type="gramStart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соответствующий</w:t>
      </w:r>
      <w:proofErr w:type="gramEnd"/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одновременно следующим требованиям: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проект не является инвестиционным проектом по реконструкции, техническому перевооружению, модернизации и (или) дооборудованию градообразующего предприятия моногорода;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ежегодная стоимость товаров (работ, услуг), приобретаемых у градообразующего предприятия Моногорода, не превышает 50 процентов ежегодной стоимости всех товаров (работ, услуг), приобретаемых в целях реализации Инвестиционного проекта;</w:t>
      </w:r>
    </w:p>
    <w:p w:rsidR="005D6E6C" w:rsidRPr="005D6E6C" w:rsidRDefault="005D6E6C" w:rsidP="005D6E6C">
      <w:pPr>
        <w:shd w:val="clear" w:color="auto" w:fill="F8F8F8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D6E6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ежегодная выручка от реализации товаров (работ, услуг) градообразующего предприятия Моногорода не превышает 50 процентов ежегодной выручки, получаемой от реализации товаров (работ, услуг), произведенных (выполненных, оказанных) в результате реализации Инвестиционного проекта.</w:t>
      </w:r>
    </w:p>
    <w:p w:rsidR="008C7BDC" w:rsidRDefault="008C7BDC"/>
    <w:sectPr w:rsidR="008C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AAE"/>
    <w:multiLevelType w:val="multilevel"/>
    <w:tmpl w:val="2F6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D0EA7"/>
    <w:multiLevelType w:val="multilevel"/>
    <w:tmpl w:val="B5E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852AEF"/>
    <w:multiLevelType w:val="multilevel"/>
    <w:tmpl w:val="94D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C538B"/>
    <w:multiLevelType w:val="multilevel"/>
    <w:tmpl w:val="84A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664333"/>
    <w:multiLevelType w:val="multilevel"/>
    <w:tmpl w:val="720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57285"/>
    <w:multiLevelType w:val="multilevel"/>
    <w:tmpl w:val="658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C"/>
    <w:rsid w:val="004A6A47"/>
    <w:rsid w:val="005D6E6C"/>
    <w:rsid w:val="008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d4affbbat.xn--p1ai/upload/manual-upload/%D1%81%D0%BF%D0%B8%D1%81%D0%BE%D0%BA_%D0%B1%D0%B0%D0%BD%D0%BA%D0%BE%D0%B2.xls" TargetMode="External"/><Relationship Id="rId13" Type="http://schemas.openxmlformats.org/officeDocument/2006/relationships/hyperlink" Target="http://xn--80afd4affbbat.xn--p1ai/upload/manual-upload/%D0%9F%D1%80%D0%B8%D0%BB%D0%BE%D0%B6%D0%B5%D0%BD%D0%B8%D0%B5_5._%D0%97%D0%B0%D1%8F%D0%B2%D0%BA%D0%B0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xn--80afd4affbbat.xn--p1ai/upload/manual-upload/%D0%9F%D1%80%D0%B8%D0%BB%D0%BE%D0%B6%D0%B5%D0%BD%D0%B8%D0%B5_2._%D0%9F%D0%B0%D1%81%D0%BF%D0%BE%D1%80%D1%82_10-250.xlsx" TargetMode="External"/><Relationship Id="rId17" Type="http://schemas.openxmlformats.org/officeDocument/2006/relationships/hyperlink" Target="http://xn--80afd4affbbat.xn--p1ai/upload/manual-upload/%D0%9F%D0%BE%D0%BB%D0%BE%D0%B6%D0%B5%D0%BD%D0%B8%D0%B5_%D0%BE%D0%B1_%D0%B8%D0%BD%D0%B2%D0%B5%D1%81%D1%82%D0%B8%D1%80%D0%BE%D0%B2%D0%B0%D0%BD%D0%B8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fd4affbbat.xn--p1ai/upload/iblock/c83/%D0%9F%D0%BE%D1%81%D1%82%D0%B0%D0%BD%D0%BE%D0%B2%D0%BB%D0%B5%D0%BD%D0%B8%D0%B5%20%D0%9F%D1%80%D0%B0%D0%B2%D0%B8%D1%82%D0%B5%D0%BB%D1%8C%D1%81%D1%82%D0%B2%D0%B0%20%D0%A0%D0%A4%2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80afd4affbbat.xn--p1ai/upload/manual-upload/%D0%9F%D1%80%D0%B8%D0%BB%D0%BE%D0%B6%D0%B5%D0%BD%D0%B8%D0%B5_1._%D0%9E%D0%B1%D1%80%D0%B0%D1%89%D0%B5%D0%BD%D0%B8%D0%B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fd4affbbat.xn--p1ai/upload/manual-upload/%D0%9F%D1%80%D0%B8%D0%BB%D0%BE%D0%B6%D0%B5%D0%BD%D0%B8%D0%B5_5._%D0%97%D0%B0%D1%8F%D0%B2%D0%BA%D0%B0.docx" TargetMode="External"/><Relationship Id="rId10" Type="http://schemas.openxmlformats.org/officeDocument/2006/relationships/hyperlink" Target="http://xn--80afd4affbbat.xn--p1ai/upload/manual-upload/%D0%9C%D0%B5%D1%82%D0%BE%D0%B4.%D1%83%D0%BA%D0%B0%D0%B7%D0%B0%D0%BD%D0%B8%D1%8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fd4affbbat.xn--p1ai/upload/manual-upload/%D0%9F%D0%BE%D0%BB%D0%BE%D0%B6%D0%B5%D0%BD%D0%B8%D0%B5_%D0%BE%D0%B1_%D0%B8%D0%BD%D0%B2%D0%B5%D1%81%D1%82%D0%B8%D1%80%D0%BE%D0%B2%D0%B0%D0%BD%D0%B8%D0%B8.pdf" TargetMode="External"/><Relationship Id="rId14" Type="http://schemas.openxmlformats.org/officeDocument/2006/relationships/hyperlink" Target="http://xn--80afd4affbbat.xn--p1ai/upload/manual-upload/%D0%9C%D0%B5%D1%82%D0%BE%D0%B4.%D1%83%D0%BA%D0%B0%D0%B7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2019-03-06T06:13:00Z</cp:lastPrinted>
  <dcterms:created xsi:type="dcterms:W3CDTF">2019-03-06T06:46:00Z</dcterms:created>
  <dcterms:modified xsi:type="dcterms:W3CDTF">2019-03-06T06:46:00Z</dcterms:modified>
</cp:coreProperties>
</file>